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</w:pPr>
      <w:r>
        <w:rPr>
          <w:b w:val="1"/>
          <w:bCs w:val="1"/>
          <w:i w:val="1"/>
          <w:iCs w:val="1"/>
          <w:rtl w:val="0"/>
        </w:rPr>
        <w:t>Z Dziej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  <w:lang w:val="en-US"/>
        </w:rPr>
        <w:t>w Prawa/From the history of the law</w:t>
      </w:r>
    </w:p>
    <w:p>
      <w:pPr>
        <w:pStyle w:val="Normaln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>FORMULARZ RECENZJI/Review form</w:t>
      </w:r>
    </w:p>
    <w:p>
      <w:pPr>
        <w:pStyle w:val="Normalny"/>
        <w:jc w:val="center"/>
        <w:rPr>
          <w:b w:val="1"/>
          <w:bCs w:val="1"/>
          <w:i w:val="1"/>
          <w:iCs w:val="1"/>
          <w:lang w:val="en-US"/>
        </w:rPr>
      </w:pPr>
    </w:p>
    <w:p>
      <w:pPr>
        <w:pStyle w:val="Normalny"/>
        <w:jc w:val="center"/>
        <w:rPr>
          <w:rStyle w:val="short_text"/>
        </w:rPr>
      </w:pPr>
    </w:p>
    <w:tbl>
      <w:tblPr>
        <w:tblW w:w="857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88"/>
        <w:gridCol w:w="5784"/>
      </w:tblGrid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4"/>
              <w:bottom w:type="dxa" w:w="80"/>
              <w:right w:type="dxa" w:w="244"/>
            </w:tcMar>
            <w:vAlign w:val="center"/>
          </w:tcPr>
          <w:p>
            <w:pPr>
              <w:pStyle w:val="Normalny"/>
              <w:ind w:left="164" w:right="164" w:firstLine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Tytu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artyku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u/ </w:t>
            </w:r>
          </w:p>
          <w:p>
            <w:pPr>
              <w:pStyle w:val="Normalny"/>
              <w:bidi w:val="0"/>
              <w:ind w:left="164" w:right="164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Title of the article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center"/>
          </w:tcPr>
          <w:p>
            <w:pPr>
              <w:pStyle w:val="Normalny"/>
              <w:numPr>
                <w:ilvl w:val="0"/>
                <w:numId w:val="1"/>
              </w:numPr>
              <w:ind w:right="164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Zgodno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hd w:val="nil" w:color="auto" w:fill="auto"/>
                <w:rtl w:val="0"/>
              </w:rPr>
              <w:t>tytu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u artyku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u z jego tre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ci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  <w:lang w:val="pt-PT"/>
              </w:rPr>
              <w:t>[</w:t>
            </w:r>
            <w:r>
              <w:rPr>
                <w:shd w:val="nil" w:color="auto" w:fill="auto"/>
                <w:rtl w:val="0"/>
                <w:lang w:val="en-US"/>
              </w:rPr>
              <w:t>Does the title corresponds with the article?]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Tak  [Yes]</w:t>
            </w:r>
          </w:p>
          <w:p>
            <w:pPr>
              <w:pStyle w:val="Normaln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pt-PT"/>
              </w:rPr>
              <w:t>aba [Weak]</w:t>
            </w:r>
          </w:p>
          <w:p>
            <w:pPr>
              <w:pStyle w:val="Normalny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>Brak [No]</w:t>
            </w:r>
          </w:p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164"/>
              <w:jc w:val="both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Zgodno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artyku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z profilem czasopisma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[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Compliance of the article with the scope of a magazine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]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Tak [Yes]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 [No]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center"/>
          </w:tcPr>
          <w:p>
            <w:pPr>
              <w:pStyle w:val="Normalny"/>
              <w:numPr>
                <w:ilvl w:val="0"/>
                <w:numId w:val="5"/>
              </w:numPr>
              <w:ind w:right="165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Ocena pracy pod wzgl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dem </w:t>
            </w:r>
            <w:r>
              <w:rPr>
                <w:b w:val="1"/>
                <w:bCs w:val="1"/>
                <w:shd w:val="nil" w:color="auto" w:fill="auto"/>
                <w:rtl w:val="0"/>
              </w:rPr>
              <w:t>formalno-j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zykowym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pt-PT"/>
              </w:rPr>
              <w:t>[</w:t>
            </w:r>
            <w:r>
              <w:rPr>
                <w:shd w:val="nil" w:color="auto" w:fill="auto"/>
                <w:rtl w:val="0"/>
                <w:lang w:val="en-US"/>
              </w:rPr>
              <w:t>Evaluation of the paper in terms of the language and the style]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pStyle w:val="Normalny"/>
              <w:ind w:right="165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Dobra [Good]</w:t>
            </w:r>
          </w:p>
          <w:p>
            <w:pPr>
              <w:pStyle w:val="Normalny"/>
              <w:bidi w:val="0"/>
              <w:ind w:left="0" w:right="165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rednia [Average]</w:t>
            </w:r>
          </w:p>
          <w:p>
            <w:pPr>
              <w:pStyle w:val="Normalny"/>
              <w:bidi w:val="0"/>
              <w:ind w:left="0" w:right="165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pt-PT"/>
              </w:rPr>
              <w:t>aba [Weak]</w:t>
            </w:r>
          </w:p>
          <w:p>
            <w:pPr>
              <w:pStyle w:val="Normalny"/>
              <w:bidi w:val="0"/>
              <w:ind w:left="0" w:right="165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Negatywna [Negative]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A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Wykorzystanie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ź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 literatury</w:t>
            </w:r>
            <w:r>
              <w:rPr>
                <w:shd w:val="nil" w:color="auto" w:fill="auto"/>
                <w:rtl w:val="0"/>
                <w:lang w:val="en-US"/>
              </w:rPr>
              <w:t xml:space="preserve"> [The use of sources and literature]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Prawid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owe [</w:t>
            </w:r>
            <w:r>
              <w:rPr>
                <w:shd w:val="nil" w:color="auto" w:fill="auto"/>
                <w:rtl w:val="0"/>
                <w:lang w:val="pt-PT"/>
              </w:rPr>
              <w:t>Correct</w:t>
            </w:r>
            <w:r>
              <w:rPr>
                <w:shd w:val="nil" w:color="auto" w:fill="auto"/>
                <w:rtl w:val="0"/>
                <w:lang w:val="en-US"/>
              </w:rPr>
              <w:t>]</w:t>
            </w:r>
          </w:p>
          <w:p>
            <w:pPr>
              <w:pStyle w:val="Treść A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de-DE"/>
              </w:rPr>
              <w:t>abe</w:t>
            </w:r>
            <w:r>
              <w:rPr>
                <w:shd w:val="nil" w:color="auto" w:fill="auto"/>
                <w:rtl w:val="0"/>
                <w:lang w:val="en-US"/>
              </w:rPr>
              <w:t xml:space="preserve"> [Weak]</w:t>
            </w:r>
          </w:p>
          <w:p>
            <w:pPr>
              <w:pStyle w:val="Treś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Nieprawid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owe</w:t>
            </w:r>
            <w:r>
              <w:rPr>
                <w:shd w:val="nil" w:color="auto" w:fill="auto"/>
                <w:rtl w:val="0"/>
                <w:lang w:val="pt-PT"/>
              </w:rPr>
              <w:t xml:space="preserve"> [Incorrect]</w:t>
            </w:r>
          </w:p>
        </w:tc>
      </w:tr>
      <w:tr>
        <w:tblPrEx>
          <w:shd w:val="clear" w:color="auto" w:fill="ced7e7"/>
        </w:tblPrEx>
        <w:trPr>
          <w:trHeight w:val="1035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2"/>
            </w:tcMar>
            <w:vAlign w:val="center"/>
          </w:tcPr>
          <w:p>
            <w:pPr>
              <w:pStyle w:val="Treść A"/>
              <w:numPr>
                <w:ilvl w:val="0"/>
                <w:numId w:val="9"/>
              </w:numPr>
              <w:ind w:right="732"/>
              <w:jc w:val="both"/>
              <w:rPr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Metoda badawcza</w:t>
            </w:r>
            <w:r>
              <w:rPr>
                <w:shd w:val="nil" w:color="auto" w:fill="auto"/>
                <w:rtl w:val="0"/>
                <w:lang w:val="en-US"/>
              </w:rPr>
              <w:t xml:space="preserve"> [Research  method]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Prawid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owa [Correct]</w:t>
            </w:r>
          </w:p>
          <w:p>
            <w:pPr>
              <w:pStyle w:val="Treś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Nieprawid</w:t>
            </w:r>
            <w:r>
              <w:rPr>
                <w:shd w:val="nil" w:color="auto" w:fill="auto"/>
                <w:rtl w:val="0"/>
                <w:lang w:val="en-US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>owa [Incorrect]</w:t>
            </w:r>
          </w:p>
        </w:tc>
      </w:tr>
      <w:tr>
        <w:tblPrEx>
          <w:shd w:val="clear" w:color="auto" w:fill="ced7e7"/>
        </w:tblPrEx>
        <w:trPr>
          <w:trHeight w:val="1720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2"/>
            </w:tcMar>
            <w:vAlign w:val="center"/>
          </w:tcPr>
          <w:p>
            <w:pPr>
              <w:pStyle w:val="Normalny"/>
              <w:numPr>
                <w:ilvl w:val="0"/>
                <w:numId w:val="11"/>
              </w:numPr>
              <w:ind w:right="732"/>
              <w:jc w:val="both"/>
              <w:rPr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Warto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naukowa artyku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pt-PT"/>
              </w:rPr>
              <w:t>[</w:t>
            </w:r>
            <w:r>
              <w:rPr>
                <w:shd w:val="nil" w:color="auto" w:fill="auto"/>
                <w:rtl w:val="0"/>
                <w:lang w:val="en-US"/>
              </w:rPr>
              <w:t>The scientific value of the article]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6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Bardzo dobra [Very good]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Dobra [Good]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rednia [Average]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pt-PT"/>
              </w:rPr>
              <w:t>aba [Weak]</w:t>
            </w:r>
          </w:p>
          <w:p>
            <w:pPr>
              <w:pStyle w:val="Normalny"/>
              <w:bidi w:val="0"/>
              <w:ind w:left="1866" w:right="0" w:hanging="1866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Negatywna [Negative]</w:t>
            </w:r>
          </w:p>
        </w:tc>
      </w:tr>
      <w:tr>
        <w:tblPrEx>
          <w:shd w:val="clear" w:color="auto" w:fill="ced7e7"/>
        </w:tblPrEx>
        <w:trPr>
          <w:trHeight w:val="3270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center"/>
          </w:tcPr>
          <w:p>
            <w:pPr>
              <w:pStyle w:val="Normalny"/>
              <w:numPr>
                <w:ilvl w:val="0"/>
                <w:numId w:val="13"/>
              </w:numPr>
              <w:ind w:right="165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Rekomendacja recenzenta</w:t>
            </w:r>
            <w:r>
              <w:rPr>
                <w:shd w:val="nil" w:color="auto" w:fill="auto"/>
                <w:rtl w:val="0"/>
                <w:lang w:val="pt-PT"/>
              </w:rPr>
              <w:t xml:space="preserve"> [</w:t>
            </w:r>
            <w:r>
              <w:rPr>
                <w:shd w:val="nil" w:color="auto" w:fill="auto"/>
                <w:rtl w:val="0"/>
                <w:lang w:val="en-US"/>
              </w:rPr>
              <w:t>Recommendation of the reviewer</w:t>
            </w:r>
            <w:r>
              <w:rPr>
                <w:shd w:val="nil" w:color="auto" w:fill="auto"/>
                <w:rtl w:val="0"/>
                <w:lang w:val="pt-PT"/>
              </w:rPr>
              <w:t>]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numPr>
                <w:ilvl w:val="0"/>
                <w:numId w:val="14"/>
              </w:numPr>
              <w:spacing w:before="60" w:after="60"/>
              <w:jc w:val="both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Artyku</w:t>
            </w:r>
            <w:r>
              <w:rPr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shd w:val="nil" w:color="auto" w:fill="auto"/>
                <w:rtl w:val="0"/>
                <w:lang w:val="en-US"/>
              </w:rPr>
              <w:t>mo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 zosta</w:t>
            </w:r>
            <w:r>
              <w:rPr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shd w:val="nil" w:color="auto" w:fill="auto"/>
                <w:rtl w:val="0"/>
                <w:lang w:val="en-US"/>
              </w:rPr>
              <w:t>opublikowany bez poprawek [The paper is acceptable for publication in its present form]</w:t>
            </w:r>
          </w:p>
          <w:p>
            <w:pPr>
              <w:pStyle w:val="Treść A"/>
              <w:spacing w:before="60" w:after="60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Treść A"/>
              <w:numPr>
                <w:ilvl w:val="0"/>
                <w:numId w:val="14"/>
              </w:numPr>
              <w:bidi w:val="0"/>
              <w:spacing w:before="60" w:after="60"/>
              <w:ind w:right="0"/>
              <w:jc w:val="both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Artyku</w:t>
            </w:r>
            <w:r>
              <w:rPr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shd w:val="nil" w:color="auto" w:fill="auto"/>
                <w:rtl w:val="0"/>
                <w:lang w:val="en-US"/>
              </w:rPr>
              <w:t>mo</w:t>
            </w:r>
            <w:r>
              <w:rPr>
                <w:shd w:val="nil" w:color="auto" w:fill="auto"/>
                <w:rtl w:val="0"/>
                <w:lang w:val="en-US"/>
              </w:rPr>
              <w:t>ż</w:t>
            </w:r>
            <w:r>
              <w:rPr>
                <w:shd w:val="nil" w:color="auto" w:fill="auto"/>
                <w:rtl w:val="0"/>
                <w:lang w:val="en-US"/>
              </w:rPr>
              <w:t>e zosta</w:t>
            </w:r>
            <w:r>
              <w:rPr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shd w:val="nil" w:color="auto" w:fill="auto"/>
                <w:rtl w:val="0"/>
                <w:lang w:val="en-US"/>
              </w:rPr>
              <w:t>opublikowany po uwzgl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dnieniu poprawek okre</w:t>
            </w:r>
            <w:r>
              <w:rPr>
                <w:shd w:val="nil" w:color="auto" w:fill="auto"/>
                <w:rtl w:val="0"/>
                <w:lang w:val="en-US"/>
              </w:rPr>
              <w:t>ś</w:t>
            </w:r>
            <w:r>
              <w:rPr>
                <w:shd w:val="nil" w:color="auto" w:fill="auto"/>
                <w:rtl w:val="0"/>
                <w:lang w:val="en-US"/>
              </w:rPr>
              <w:t xml:space="preserve">lonych w pkt. </w:t>
            </w:r>
            <w:r>
              <w:rPr>
                <w:shd w:val="nil" w:color="auto" w:fill="auto"/>
                <w:rtl w:val="0"/>
                <w:lang w:val="en-US"/>
              </w:rPr>
              <w:t>8</w:t>
            </w:r>
            <w:r>
              <w:rPr>
                <w:shd w:val="nil" w:color="auto" w:fill="auto"/>
                <w:rtl w:val="0"/>
                <w:lang w:val="en-US"/>
              </w:rPr>
              <w:t xml:space="preserve"> recenzji [The paper is acceptable for publication with revisions included in pkt. </w:t>
            </w:r>
            <w:r>
              <w:rPr>
                <w:shd w:val="nil" w:color="auto" w:fill="auto"/>
                <w:rtl w:val="0"/>
                <w:lang w:val="en-US"/>
              </w:rPr>
              <w:t>8</w:t>
            </w:r>
            <w:r>
              <w:rPr>
                <w:shd w:val="nil" w:color="auto" w:fill="auto"/>
                <w:rtl w:val="0"/>
                <w:lang w:val="en-US"/>
              </w:rPr>
              <w:t>]</w:t>
            </w:r>
          </w:p>
          <w:p>
            <w:pPr>
              <w:pStyle w:val="Treść A"/>
              <w:spacing w:before="60" w:after="60"/>
              <w:jc w:val="both"/>
              <w:rPr>
                <w:shd w:val="nil" w:color="auto" w:fill="auto"/>
                <w:lang w:val="en-US"/>
              </w:rPr>
            </w:pPr>
          </w:p>
          <w:p>
            <w:pPr>
              <w:pStyle w:val="Treść A"/>
              <w:numPr>
                <w:ilvl w:val="0"/>
                <w:numId w:val="14"/>
              </w:numPr>
              <w:bidi w:val="0"/>
              <w:spacing w:before="60" w:after="60"/>
              <w:ind w:right="0"/>
              <w:jc w:val="both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Artyku</w:t>
            </w:r>
            <w:r>
              <w:rPr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shd w:val="nil" w:color="auto" w:fill="auto"/>
                <w:rtl w:val="0"/>
                <w:lang w:val="en-US"/>
              </w:rPr>
              <w:t>powinien zosta</w:t>
            </w:r>
            <w:r>
              <w:rPr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shd w:val="nil" w:color="auto" w:fill="auto"/>
                <w:rtl w:val="0"/>
                <w:lang w:val="en-US"/>
              </w:rPr>
              <w:t>odrzucony przez redakcj</w:t>
            </w:r>
            <w:r>
              <w:rPr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shd w:val="nil" w:color="auto" w:fill="auto"/>
                <w:rtl w:val="0"/>
                <w:lang w:val="en-US"/>
              </w:rPr>
              <w:t>[The paper should be rejected]</w:t>
            </w:r>
          </w:p>
        </w:tc>
      </w:tr>
      <w:tr>
        <w:tblPrEx>
          <w:shd w:val="clear" w:color="auto" w:fill="ced7e7"/>
        </w:tblPrEx>
        <w:trPr>
          <w:trHeight w:val="2510" w:hRule="atLeast"/>
        </w:trPr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center"/>
          </w:tcPr>
          <w:p>
            <w:pPr>
              <w:pStyle w:val="Normalny"/>
              <w:numPr>
                <w:ilvl w:val="0"/>
                <w:numId w:val="16"/>
              </w:numPr>
              <w:ind w:right="165"/>
              <w:jc w:val="both"/>
              <w:rPr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Dodatkowe uwagi recenzenta</w:t>
            </w:r>
            <w:r>
              <w:rPr>
                <w:shd w:val="nil" w:color="auto" w:fill="auto"/>
                <w:rtl w:val="0"/>
                <w:lang w:val="en-US"/>
              </w:rPr>
              <w:t xml:space="preserve"> / Additional remarks of the reviewer]</w:t>
            </w:r>
          </w:p>
        </w:tc>
        <w:tc>
          <w:tcPr>
            <w:tcW w:type="dxa" w:w="5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3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 w:after="60"/>
              <w:ind w:left="753" w:firstLine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spacing w:before="60" w:after="60"/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spacing w:before="60" w:after="60"/>
              <w:ind w:left="753" w:firstLine="0"/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tabs>
                <w:tab w:val="left" w:pos="4170"/>
              </w:tabs>
              <w:bidi w:val="0"/>
              <w:spacing w:before="60" w:after="60"/>
              <w:ind w:left="753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tab/>
            </w:r>
          </w:p>
          <w:p>
            <w:pPr>
              <w:pStyle w:val="Normalny"/>
              <w:spacing w:before="60" w:after="60"/>
              <w:ind w:left="75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Normalny"/>
        <w:widowControl w:val="0"/>
        <w:ind w:left="216" w:hanging="216"/>
        <w:jc w:val="center"/>
        <w:rPr>
          <w:rStyle w:val="short_text"/>
        </w:rPr>
      </w:pPr>
    </w:p>
    <w:p>
      <w:pPr>
        <w:pStyle w:val="Normalny"/>
        <w:widowControl w:val="0"/>
        <w:ind w:left="108" w:hanging="108"/>
        <w:jc w:val="center"/>
        <w:rPr>
          <w:rStyle w:val="short_text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rPr>
          <w:b w:val="1"/>
          <w:bCs w:val="1"/>
          <w:sz w:val="22"/>
          <w:szCs w:val="22"/>
        </w:rPr>
      </w:pPr>
    </w:p>
    <w:p>
      <w:pPr>
        <w:pStyle w:val="Normalny"/>
        <w:widowControl w:val="0"/>
        <w:ind w:left="108" w:hanging="108"/>
        <w:rPr>
          <w:b w:val="1"/>
          <w:bCs w:val="1"/>
          <w:sz w:val="22"/>
          <w:szCs w:val="22"/>
        </w:rPr>
      </w:pPr>
    </w:p>
    <w:p>
      <w:pPr>
        <w:pStyle w:val="Normalny"/>
        <w:widowControl w:val="0"/>
        <w:rPr>
          <w:b w:val="1"/>
          <w:bCs w:val="1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99"/>
        </w:tabs>
        <w:spacing w:line="480" w:lineRule="auto"/>
        <w:rPr>
          <w:rStyle w:val="short_text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Data i podpis recenzenta </w:t>
      </w:r>
      <w:r>
        <w:rPr>
          <w:rtl w:val="0"/>
          <w:lang w:val="en-US"/>
        </w:rPr>
        <w:t>[Date and signature of the reviewer]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99"/>
        </w:tabs>
        <w:spacing w:line="480" w:lineRule="auto"/>
      </w:pPr>
      <w:r>
        <w:rPr>
          <w:rtl w:val="0"/>
          <w:lang w:val="en-US"/>
        </w:rPr>
        <w:tab/>
        <w:tab/>
        <w:tab/>
        <w:tab/>
        <w:tab/>
        <w:tab/>
        <w:tab/>
        <w:tab/>
        <w:t xml:space="preserve"> ……………………………</w:t>
      </w:r>
      <w:r>
        <w:rPr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1400" w:bottom="1537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8"/>
  </w:num>
  <w:num w:numId="16">
    <w:abstractNumId w:val="8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hort_text">
    <w:name w:val="short_text"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